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X="-318" w:tblpY="-495"/>
        <w:tblW w:w="13716" w:type="dxa"/>
        <w:tblLayout w:type="fixed"/>
        <w:tblLook w:val="04A0" w:firstRow="1" w:lastRow="0" w:firstColumn="1" w:lastColumn="0" w:noHBand="0" w:noVBand="1"/>
      </w:tblPr>
      <w:tblGrid>
        <w:gridCol w:w="2093"/>
        <w:gridCol w:w="11623"/>
      </w:tblGrid>
      <w:tr w:rsidR="00F068D3" w:rsidRPr="00CD2C34" w14:paraId="438074B5" w14:textId="77777777" w:rsidTr="008D77B4">
        <w:tc>
          <w:tcPr>
            <w:tcW w:w="13716" w:type="dxa"/>
            <w:gridSpan w:val="2"/>
          </w:tcPr>
          <w:p w14:paraId="71999C16" w14:textId="77777777" w:rsidR="00F068D3" w:rsidRDefault="00CD2C34" w:rsidP="00617C1D">
            <w:pPr>
              <w:jc w:val="center"/>
              <w:rPr>
                <w:rFonts w:cstheme="minorHAnsi"/>
                <w:b/>
                <w:sz w:val="24"/>
                <w:szCs w:val="24"/>
              </w:rPr>
            </w:pPr>
            <w:r w:rsidRPr="00CD2C34">
              <w:rPr>
                <w:rFonts w:cstheme="minorHAnsi"/>
                <w:b/>
                <w:sz w:val="24"/>
                <w:szCs w:val="24"/>
              </w:rPr>
              <w:t>C</w:t>
            </w:r>
            <w:r w:rsidR="00F068D3" w:rsidRPr="00CD2C34">
              <w:rPr>
                <w:rFonts w:cstheme="minorHAnsi"/>
                <w:b/>
                <w:sz w:val="24"/>
                <w:szCs w:val="24"/>
              </w:rPr>
              <w:t>hanges to Child Protection and Safeguarding policy guidance for schools</w:t>
            </w:r>
            <w:r w:rsidRPr="00CD2C34">
              <w:rPr>
                <w:rFonts w:cstheme="minorHAnsi"/>
                <w:b/>
                <w:sz w:val="24"/>
                <w:szCs w:val="24"/>
              </w:rPr>
              <w:t>-Sept 2020</w:t>
            </w:r>
            <w:bookmarkStart w:id="0" w:name="_GoBack"/>
            <w:bookmarkEnd w:id="0"/>
          </w:p>
          <w:p w14:paraId="056309ED" w14:textId="59FA4799" w:rsidR="00FA05CD" w:rsidRPr="00CD2C34" w:rsidRDefault="00FA05CD" w:rsidP="00617C1D">
            <w:pPr>
              <w:jc w:val="center"/>
              <w:rPr>
                <w:rFonts w:cstheme="minorHAnsi"/>
                <w:b/>
                <w:sz w:val="24"/>
                <w:szCs w:val="24"/>
              </w:rPr>
            </w:pPr>
          </w:p>
        </w:tc>
      </w:tr>
      <w:tr w:rsidR="00F068D3" w:rsidRPr="00CD2C34" w14:paraId="4414065E" w14:textId="77777777" w:rsidTr="008D77B4">
        <w:tc>
          <w:tcPr>
            <w:tcW w:w="2093" w:type="dxa"/>
          </w:tcPr>
          <w:p w14:paraId="2D5751C0" w14:textId="018F5B2C" w:rsidR="00F068D3" w:rsidRPr="00CD2C34" w:rsidRDefault="00F068D3" w:rsidP="00617C1D">
            <w:pPr>
              <w:rPr>
                <w:rFonts w:cstheme="minorHAnsi"/>
                <w:sz w:val="21"/>
                <w:szCs w:val="21"/>
              </w:rPr>
            </w:pPr>
            <w:r w:rsidRPr="00CD2C34">
              <w:rPr>
                <w:rFonts w:cstheme="minorHAnsi"/>
                <w:sz w:val="21"/>
                <w:szCs w:val="21"/>
              </w:rPr>
              <w:t>Dates</w:t>
            </w:r>
          </w:p>
        </w:tc>
        <w:tc>
          <w:tcPr>
            <w:tcW w:w="11623" w:type="dxa"/>
          </w:tcPr>
          <w:p w14:paraId="25D0532F" w14:textId="549DFD1F" w:rsidR="00CD2C34" w:rsidRPr="00CD2C34" w:rsidRDefault="00F068D3" w:rsidP="00617C1D">
            <w:pPr>
              <w:rPr>
                <w:rFonts w:cstheme="minorHAnsi"/>
                <w:sz w:val="21"/>
                <w:szCs w:val="21"/>
              </w:rPr>
            </w:pPr>
            <w:r w:rsidRPr="00CD2C34">
              <w:rPr>
                <w:rFonts w:cstheme="minorHAnsi"/>
                <w:sz w:val="21"/>
                <w:szCs w:val="21"/>
              </w:rPr>
              <w:t>Updated to from KCSE 2019 to KCSE 2020</w:t>
            </w:r>
          </w:p>
        </w:tc>
      </w:tr>
      <w:tr w:rsidR="008D77B4" w:rsidRPr="00CD2C34" w14:paraId="0521E868" w14:textId="77777777" w:rsidTr="008D77B4">
        <w:tc>
          <w:tcPr>
            <w:tcW w:w="2093" w:type="dxa"/>
          </w:tcPr>
          <w:p w14:paraId="27B42634" w14:textId="29A8FFA0" w:rsidR="008D77B4" w:rsidRPr="00CD2C34" w:rsidRDefault="008D77B4" w:rsidP="00617C1D">
            <w:pPr>
              <w:rPr>
                <w:rFonts w:cstheme="minorHAnsi"/>
                <w:sz w:val="21"/>
                <w:szCs w:val="21"/>
              </w:rPr>
            </w:pPr>
            <w:r>
              <w:rPr>
                <w:rFonts w:cstheme="minorHAnsi"/>
                <w:sz w:val="21"/>
                <w:szCs w:val="21"/>
              </w:rPr>
              <w:t>Safeguarding definition</w:t>
            </w:r>
          </w:p>
        </w:tc>
        <w:tc>
          <w:tcPr>
            <w:tcW w:w="11623" w:type="dxa"/>
          </w:tcPr>
          <w:p w14:paraId="452A5C40" w14:textId="1FD98A31" w:rsidR="008D77B4" w:rsidRPr="00CD2C34" w:rsidRDefault="008D77B4" w:rsidP="00617C1D">
            <w:pPr>
              <w:rPr>
                <w:rFonts w:cstheme="minorHAnsi"/>
                <w:sz w:val="21"/>
                <w:szCs w:val="21"/>
              </w:rPr>
            </w:pPr>
            <w:r>
              <w:rPr>
                <w:rFonts w:cstheme="minorHAnsi"/>
                <w:i/>
                <w:iCs/>
                <w:color w:val="000000"/>
              </w:rPr>
              <w:t>M</w:t>
            </w:r>
            <w:r w:rsidRPr="00260227">
              <w:rPr>
                <w:rFonts w:cstheme="minorHAnsi"/>
                <w:i/>
                <w:iCs/>
                <w:color w:val="000000"/>
              </w:rPr>
              <w:t>ental and physical</w:t>
            </w:r>
            <w:r w:rsidRPr="00260227">
              <w:rPr>
                <w:rFonts w:cstheme="minorHAnsi"/>
                <w:color w:val="000000"/>
              </w:rPr>
              <w:t xml:space="preserve"> added to definition of safeguarding to emphasise the importance of </w:t>
            </w:r>
            <w:r>
              <w:rPr>
                <w:rFonts w:cstheme="minorHAnsi"/>
                <w:color w:val="000000"/>
              </w:rPr>
              <w:t xml:space="preserve">these.  </w:t>
            </w:r>
            <w:r>
              <w:rPr>
                <w:rFonts w:cstheme="minorHAnsi"/>
                <w:color w:val="000000"/>
              </w:rPr>
              <w:t>Definition n</w:t>
            </w:r>
            <w:r>
              <w:rPr>
                <w:rFonts w:cstheme="minorHAnsi"/>
                <w:color w:val="000000"/>
              </w:rPr>
              <w:t>ow reads ‘P</w:t>
            </w:r>
            <w:r>
              <w:rPr>
                <w:rFonts w:cstheme="minorHAnsi"/>
              </w:rPr>
              <w:t>reventing impairment of children’s</w:t>
            </w:r>
            <w:r w:rsidRPr="00260227">
              <w:rPr>
                <w:rFonts w:cstheme="minorHAnsi"/>
              </w:rPr>
              <w:t xml:space="preserve"> </w:t>
            </w:r>
            <w:r w:rsidRPr="00260227">
              <w:rPr>
                <w:rFonts w:cstheme="minorHAnsi"/>
                <w:i/>
                <w:iCs/>
                <w:color w:val="000000"/>
              </w:rPr>
              <w:t>mental and physical</w:t>
            </w:r>
            <w:r w:rsidRPr="00260227">
              <w:rPr>
                <w:rFonts w:cstheme="minorHAnsi"/>
                <w:color w:val="000000"/>
              </w:rPr>
              <w:t xml:space="preserve"> </w:t>
            </w:r>
            <w:r w:rsidRPr="00260227">
              <w:rPr>
                <w:rFonts w:cstheme="minorHAnsi"/>
              </w:rPr>
              <w:t xml:space="preserve">health </w:t>
            </w:r>
            <w:r>
              <w:rPr>
                <w:rFonts w:cstheme="minorHAnsi"/>
              </w:rPr>
              <w:t>or</w:t>
            </w:r>
            <w:r w:rsidRPr="00260227">
              <w:rPr>
                <w:rFonts w:cstheme="minorHAnsi"/>
              </w:rPr>
              <w:t xml:space="preserve"> development</w:t>
            </w:r>
            <w:r>
              <w:rPr>
                <w:rFonts w:cstheme="minorHAnsi"/>
              </w:rPr>
              <w:t>’</w:t>
            </w:r>
            <w:r>
              <w:rPr>
                <w:rFonts w:cstheme="minorHAnsi"/>
              </w:rPr>
              <w:t xml:space="preserve"> in line with Keeping Children Safe in Education 2020.  </w:t>
            </w:r>
          </w:p>
        </w:tc>
      </w:tr>
      <w:tr w:rsidR="00F068D3" w:rsidRPr="00CD2C34" w14:paraId="3D3EED6F" w14:textId="77777777" w:rsidTr="008D77B4">
        <w:tc>
          <w:tcPr>
            <w:tcW w:w="2093" w:type="dxa"/>
          </w:tcPr>
          <w:p w14:paraId="4F452B40" w14:textId="41CC75D9" w:rsidR="00F068D3" w:rsidRPr="00CD2C34" w:rsidRDefault="00F068D3" w:rsidP="00617C1D">
            <w:pPr>
              <w:rPr>
                <w:rFonts w:cstheme="minorHAnsi"/>
                <w:sz w:val="21"/>
                <w:szCs w:val="21"/>
              </w:rPr>
            </w:pPr>
            <w:r w:rsidRPr="00CD2C34">
              <w:rPr>
                <w:rFonts w:cstheme="minorHAnsi"/>
                <w:sz w:val="21"/>
                <w:szCs w:val="21"/>
              </w:rPr>
              <w:t>Supply staff/ Volunteers</w:t>
            </w:r>
          </w:p>
        </w:tc>
        <w:tc>
          <w:tcPr>
            <w:tcW w:w="11623" w:type="dxa"/>
          </w:tcPr>
          <w:p w14:paraId="29AF182B" w14:textId="2490F9EF" w:rsidR="00F068D3" w:rsidRPr="00CD2C34" w:rsidRDefault="00F068D3" w:rsidP="00617C1D">
            <w:pPr>
              <w:rPr>
                <w:rFonts w:cstheme="minorHAnsi"/>
                <w:sz w:val="21"/>
                <w:szCs w:val="21"/>
              </w:rPr>
            </w:pPr>
            <w:r w:rsidRPr="00CD2C34">
              <w:rPr>
                <w:rFonts w:cstheme="minorHAnsi"/>
                <w:sz w:val="21"/>
                <w:szCs w:val="21"/>
              </w:rPr>
              <w:t xml:space="preserve">Where </w:t>
            </w:r>
            <w:r w:rsidR="00CD2C34">
              <w:rPr>
                <w:rFonts w:cstheme="minorHAnsi"/>
                <w:sz w:val="21"/>
                <w:szCs w:val="21"/>
              </w:rPr>
              <w:t xml:space="preserve">any </w:t>
            </w:r>
            <w:r w:rsidRPr="00CD2C34">
              <w:rPr>
                <w:rFonts w:cstheme="minorHAnsi"/>
                <w:sz w:val="21"/>
                <w:szCs w:val="21"/>
              </w:rPr>
              <w:t>reference is made to agency staff, ‘</w:t>
            </w:r>
            <w:r w:rsidRPr="00CD2C34">
              <w:rPr>
                <w:rFonts w:cstheme="minorHAnsi"/>
                <w:i/>
                <w:iCs/>
                <w:sz w:val="21"/>
                <w:szCs w:val="21"/>
              </w:rPr>
              <w:t>supply staff’</w:t>
            </w:r>
            <w:r w:rsidRPr="00CD2C34">
              <w:rPr>
                <w:rFonts w:cstheme="minorHAnsi"/>
                <w:sz w:val="21"/>
                <w:szCs w:val="21"/>
              </w:rPr>
              <w:t xml:space="preserve"> has also been added throughout the document </w:t>
            </w:r>
            <w:r w:rsidR="00CD2C34">
              <w:rPr>
                <w:rFonts w:cstheme="minorHAnsi"/>
                <w:sz w:val="21"/>
                <w:szCs w:val="21"/>
              </w:rPr>
              <w:t xml:space="preserve">in line with the </w:t>
            </w:r>
            <w:r w:rsidRPr="00CD2C34">
              <w:rPr>
                <w:rFonts w:cstheme="minorHAnsi"/>
                <w:sz w:val="21"/>
                <w:szCs w:val="21"/>
              </w:rPr>
              <w:t xml:space="preserve">updates to part 4 of KCSE 2020.  This now outlines that allegations are dealt with thoroughly even where school is not the employer.  The title of Part 4 of Keeping Children Safe in Education 2020 has been updated to </w:t>
            </w:r>
            <w:r w:rsidRPr="00CD2C34">
              <w:rPr>
                <w:rFonts w:eastAsia="Arial" w:cstheme="minorHAnsi"/>
                <w:iCs/>
                <w:color w:val="000000"/>
                <w:sz w:val="21"/>
                <w:szCs w:val="21"/>
              </w:rPr>
              <w:t>‘</w:t>
            </w:r>
            <w:r w:rsidRPr="00CD2C34">
              <w:rPr>
                <w:rFonts w:eastAsia="Arial" w:cstheme="minorHAnsi"/>
                <w:i/>
                <w:color w:val="000000"/>
                <w:sz w:val="21"/>
                <w:szCs w:val="21"/>
              </w:rPr>
              <w:t>Allegations of abuse made against teachers including supply staff, volunteers and other staff’</w:t>
            </w:r>
            <w:r w:rsidRPr="00CD2C34">
              <w:rPr>
                <w:rFonts w:eastAsia="Arial" w:cstheme="minorHAnsi"/>
                <w:iCs/>
                <w:color w:val="000000"/>
                <w:sz w:val="21"/>
                <w:szCs w:val="21"/>
              </w:rPr>
              <w:t>.</w:t>
            </w:r>
          </w:p>
        </w:tc>
      </w:tr>
      <w:tr w:rsidR="00F068D3" w:rsidRPr="00CD2C34" w14:paraId="79C16687" w14:textId="77777777" w:rsidTr="008D77B4">
        <w:tc>
          <w:tcPr>
            <w:tcW w:w="2093" w:type="dxa"/>
          </w:tcPr>
          <w:p w14:paraId="05AFF490" w14:textId="51C0DB37" w:rsidR="00F068D3" w:rsidRPr="00CD2C34" w:rsidRDefault="00F068D3" w:rsidP="00617C1D">
            <w:pPr>
              <w:rPr>
                <w:rFonts w:cstheme="minorHAnsi"/>
                <w:sz w:val="21"/>
                <w:szCs w:val="21"/>
              </w:rPr>
            </w:pPr>
            <w:r w:rsidRPr="00CD2C34">
              <w:rPr>
                <w:rFonts w:cstheme="minorHAnsi"/>
                <w:sz w:val="21"/>
                <w:szCs w:val="21"/>
              </w:rPr>
              <w:t xml:space="preserve">North Tyneside Safeguarding Children Partnership </w:t>
            </w:r>
          </w:p>
        </w:tc>
        <w:tc>
          <w:tcPr>
            <w:tcW w:w="11623" w:type="dxa"/>
          </w:tcPr>
          <w:p w14:paraId="79E8F9BB" w14:textId="7316D984" w:rsidR="00F068D3" w:rsidRPr="00CD2C34" w:rsidRDefault="00F068D3" w:rsidP="00617C1D">
            <w:pPr>
              <w:rPr>
                <w:rFonts w:cstheme="minorHAnsi"/>
                <w:sz w:val="21"/>
                <w:szCs w:val="21"/>
              </w:rPr>
            </w:pPr>
            <w:r w:rsidRPr="00CD2C34">
              <w:rPr>
                <w:rFonts w:cstheme="minorHAnsi"/>
                <w:sz w:val="21"/>
                <w:szCs w:val="21"/>
              </w:rPr>
              <w:t>All references/footnotes to ‘</w:t>
            </w:r>
            <w:r w:rsidRPr="00CD2C34">
              <w:rPr>
                <w:rFonts w:cstheme="minorHAnsi"/>
                <w:i/>
                <w:iCs/>
                <w:sz w:val="21"/>
                <w:szCs w:val="21"/>
              </w:rPr>
              <w:t>Local Safeguarding Children Board’</w:t>
            </w:r>
            <w:r w:rsidRPr="00CD2C34">
              <w:rPr>
                <w:rFonts w:cstheme="minorHAnsi"/>
                <w:sz w:val="21"/>
                <w:szCs w:val="21"/>
              </w:rPr>
              <w:t xml:space="preserve"> and ‘</w:t>
            </w:r>
            <w:r w:rsidRPr="00CD2C34">
              <w:rPr>
                <w:rFonts w:cstheme="minorHAnsi"/>
                <w:i/>
                <w:iCs/>
                <w:sz w:val="21"/>
                <w:szCs w:val="21"/>
              </w:rPr>
              <w:t xml:space="preserve">local safeguarding arrangements’ </w:t>
            </w:r>
            <w:r w:rsidRPr="00CD2C34">
              <w:rPr>
                <w:rFonts w:cstheme="minorHAnsi"/>
                <w:sz w:val="21"/>
                <w:szCs w:val="21"/>
              </w:rPr>
              <w:t xml:space="preserve">removed as these are now replaced with North Tyneside Safeguarding Children Partnership (NTSCP).  </w:t>
            </w:r>
          </w:p>
        </w:tc>
      </w:tr>
      <w:tr w:rsidR="00F068D3" w:rsidRPr="00CD2C34" w14:paraId="4B0D9860" w14:textId="77777777" w:rsidTr="008D77B4">
        <w:tc>
          <w:tcPr>
            <w:tcW w:w="2093" w:type="dxa"/>
          </w:tcPr>
          <w:p w14:paraId="00EC87FD" w14:textId="33D2E994" w:rsidR="00F068D3" w:rsidRPr="00CD2C34" w:rsidRDefault="00F068D3" w:rsidP="00617C1D">
            <w:pPr>
              <w:rPr>
                <w:rFonts w:cstheme="minorHAnsi"/>
                <w:sz w:val="21"/>
                <w:szCs w:val="21"/>
              </w:rPr>
            </w:pPr>
            <w:r w:rsidRPr="00CD2C34">
              <w:rPr>
                <w:rFonts w:cstheme="minorHAnsi"/>
                <w:sz w:val="21"/>
                <w:szCs w:val="21"/>
              </w:rPr>
              <w:t>Safeguarding during the Coronavirus pandemic</w:t>
            </w:r>
          </w:p>
        </w:tc>
        <w:tc>
          <w:tcPr>
            <w:tcW w:w="11623" w:type="dxa"/>
          </w:tcPr>
          <w:p w14:paraId="0EF794A1" w14:textId="2B78F374" w:rsidR="00F068D3" w:rsidRPr="00CD2C34" w:rsidRDefault="00F068D3" w:rsidP="00617C1D">
            <w:pPr>
              <w:rPr>
                <w:rFonts w:cstheme="minorHAnsi"/>
                <w:sz w:val="21"/>
                <w:szCs w:val="21"/>
              </w:rPr>
            </w:pPr>
            <w:r w:rsidRPr="00CD2C34">
              <w:rPr>
                <w:rFonts w:cstheme="minorHAnsi"/>
                <w:sz w:val="21"/>
                <w:szCs w:val="21"/>
              </w:rPr>
              <w:t>Links added throughout the policy to signpost to DfE advice on ‘</w:t>
            </w:r>
            <w:r w:rsidR="005D6D81">
              <w:rPr>
                <w:rFonts w:cstheme="minorHAnsi"/>
                <w:sz w:val="21"/>
                <w:szCs w:val="21"/>
              </w:rPr>
              <w:t>S</w:t>
            </w:r>
            <w:r w:rsidRPr="00CD2C34">
              <w:rPr>
                <w:rFonts w:cstheme="minorHAnsi"/>
                <w:sz w:val="21"/>
                <w:szCs w:val="21"/>
              </w:rPr>
              <w:t xml:space="preserve">afeguarding in schools during the Coronavirus pandemic’ and notes added to indicate that schools should have a child protection policy addendum </w:t>
            </w:r>
            <w:r w:rsidR="005D6D81">
              <w:rPr>
                <w:rFonts w:cstheme="minorHAnsi"/>
                <w:sz w:val="21"/>
                <w:szCs w:val="21"/>
              </w:rPr>
              <w:t>outlining any amendments made to safeguarding arrangements in school during</w:t>
            </w:r>
            <w:r w:rsidRPr="00CD2C34">
              <w:rPr>
                <w:rFonts w:cstheme="minorHAnsi"/>
                <w:sz w:val="21"/>
                <w:szCs w:val="21"/>
              </w:rPr>
              <w:t xml:space="preserve"> </w:t>
            </w:r>
            <w:r w:rsidR="005D6D81" w:rsidRPr="00CD2C34">
              <w:rPr>
                <w:rFonts w:cstheme="minorHAnsi"/>
                <w:sz w:val="21"/>
                <w:szCs w:val="21"/>
              </w:rPr>
              <w:t>the period of the pandemic</w:t>
            </w:r>
            <w:r w:rsidR="005D6D81">
              <w:rPr>
                <w:rFonts w:cstheme="minorHAnsi"/>
                <w:sz w:val="21"/>
                <w:szCs w:val="21"/>
              </w:rPr>
              <w:t>.</w:t>
            </w:r>
          </w:p>
        </w:tc>
      </w:tr>
      <w:tr w:rsidR="00F068D3" w:rsidRPr="00CD2C34" w14:paraId="6D4D7CDC" w14:textId="77777777" w:rsidTr="008D77B4">
        <w:tc>
          <w:tcPr>
            <w:tcW w:w="2093" w:type="dxa"/>
          </w:tcPr>
          <w:p w14:paraId="01FFFAC2" w14:textId="77777777" w:rsidR="00F068D3" w:rsidRPr="00CD2C34" w:rsidRDefault="00F068D3" w:rsidP="00617C1D">
            <w:pPr>
              <w:rPr>
                <w:rFonts w:cstheme="minorHAnsi"/>
                <w:sz w:val="21"/>
                <w:szCs w:val="21"/>
              </w:rPr>
            </w:pPr>
            <w:r w:rsidRPr="00CD2C34">
              <w:rPr>
                <w:rFonts w:cstheme="minorHAnsi"/>
                <w:sz w:val="21"/>
                <w:szCs w:val="21"/>
              </w:rPr>
              <w:t>Specific safeguarding issues</w:t>
            </w:r>
          </w:p>
        </w:tc>
        <w:tc>
          <w:tcPr>
            <w:tcW w:w="11623" w:type="dxa"/>
          </w:tcPr>
          <w:p w14:paraId="5443915C" w14:textId="17093CD4" w:rsidR="00F068D3" w:rsidRPr="00CD2C34" w:rsidRDefault="00F068D3" w:rsidP="00617C1D">
            <w:pPr>
              <w:rPr>
                <w:rFonts w:cstheme="minorHAnsi"/>
                <w:sz w:val="21"/>
                <w:szCs w:val="21"/>
              </w:rPr>
            </w:pPr>
            <w:r w:rsidRPr="00CD2C34">
              <w:rPr>
                <w:rFonts w:cstheme="minorHAnsi"/>
                <w:sz w:val="21"/>
                <w:szCs w:val="21"/>
              </w:rPr>
              <w:t>Further specific safeguarding issues added as outlined in Annex A of KCSE 2020</w:t>
            </w:r>
          </w:p>
          <w:p w14:paraId="3F2C48B2" w14:textId="19B99052" w:rsidR="00F068D3" w:rsidRPr="00CD2C34" w:rsidRDefault="00F068D3" w:rsidP="00617C1D">
            <w:pPr>
              <w:pStyle w:val="ListParagraph"/>
              <w:numPr>
                <w:ilvl w:val="0"/>
                <w:numId w:val="1"/>
              </w:numPr>
              <w:rPr>
                <w:rFonts w:cstheme="minorHAnsi"/>
                <w:sz w:val="21"/>
                <w:szCs w:val="21"/>
              </w:rPr>
            </w:pPr>
            <w:r w:rsidRPr="00CD2C34">
              <w:rPr>
                <w:rFonts w:cstheme="minorHAnsi"/>
                <w:sz w:val="21"/>
                <w:szCs w:val="21"/>
              </w:rPr>
              <w:t>Honour based abuse</w:t>
            </w:r>
          </w:p>
          <w:p w14:paraId="5988B9D1" w14:textId="1BF82688" w:rsidR="00F068D3" w:rsidRPr="00CD2C34" w:rsidRDefault="00F068D3" w:rsidP="00617C1D">
            <w:pPr>
              <w:pStyle w:val="ListParagraph"/>
              <w:numPr>
                <w:ilvl w:val="0"/>
                <w:numId w:val="1"/>
              </w:numPr>
              <w:rPr>
                <w:rFonts w:cstheme="minorHAnsi"/>
                <w:sz w:val="21"/>
                <w:szCs w:val="21"/>
              </w:rPr>
            </w:pPr>
            <w:r w:rsidRPr="00CD2C34">
              <w:rPr>
                <w:rFonts w:cstheme="minorHAnsi"/>
                <w:sz w:val="21"/>
                <w:szCs w:val="21"/>
              </w:rPr>
              <w:t>Child Criminal Exploitation (CCE)</w:t>
            </w:r>
          </w:p>
        </w:tc>
      </w:tr>
      <w:tr w:rsidR="00F068D3" w:rsidRPr="00CD2C34" w14:paraId="7CD10FF9" w14:textId="77777777" w:rsidTr="008D77B4">
        <w:tc>
          <w:tcPr>
            <w:tcW w:w="2093" w:type="dxa"/>
          </w:tcPr>
          <w:p w14:paraId="50BC0061" w14:textId="3D1FD677" w:rsidR="00F068D3" w:rsidRPr="00CD2C34" w:rsidRDefault="00F068D3" w:rsidP="00617C1D">
            <w:pPr>
              <w:rPr>
                <w:rFonts w:cstheme="minorHAnsi"/>
                <w:sz w:val="21"/>
                <w:szCs w:val="21"/>
              </w:rPr>
            </w:pPr>
            <w:r w:rsidRPr="00CD2C34">
              <w:rPr>
                <w:rFonts w:cstheme="minorHAnsi"/>
                <w:sz w:val="21"/>
                <w:szCs w:val="21"/>
              </w:rPr>
              <w:t>Peer on peer/child on child abuse</w:t>
            </w:r>
          </w:p>
        </w:tc>
        <w:tc>
          <w:tcPr>
            <w:tcW w:w="11623" w:type="dxa"/>
          </w:tcPr>
          <w:p w14:paraId="32A19B56" w14:textId="2B95B122" w:rsidR="00F068D3" w:rsidRPr="00CD2C34" w:rsidRDefault="00F068D3" w:rsidP="00617C1D">
            <w:pPr>
              <w:rPr>
                <w:rFonts w:cstheme="minorHAnsi"/>
                <w:sz w:val="21"/>
                <w:szCs w:val="21"/>
              </w:rPr>
            </w:pPr>
            <w:r w:rsidRPr="00CD2C34">
              <w:rPr>
                <w:rFonts w:cstheme="minorHAnsi"/>
                <w:sz w:val="21"/>
                <w:szCs w:val="21"/>
              </w:rPr>
              <w:t xml:space="preserve">Peer on peer abuse now also refers to child on child abuse.  The </w:t>
            </w:r>
            <w:r w:rsidR="00136DEA" w:rsidRPr="00CD2C34">
              <w:rPr>
                <w:rFonts w:cstheme="minorHAnsi"/>
                <w:sz w:val="21"/>
                <w:szCs w:val="21"/>
              </w:rPr>
              <w:t xml:space="preserve">child protection </w:t>
            </w:r>
            <w:r w:rsidRPr="00CD2C34">
              <w:rPr>
                <w:rFonts w:cstheme="minorHAnsi"/>
                <w:sz w:val="21"/>
                <w:szCs w:val="21"/>
              </w:rPr>
              <w:t>policy has been updated for schools to indicate if the</w:t>
            </w:r>
            <w:r w:rsidR="00136DEA" w:rsidRPr="00CD2C34">
              <w:rPr>
                <w:rFonts w:cstheme="minorHAnsi"/>
                <w:sz w:val="21"/>
                <w:szCs w:val="21"/>
              </w:rPr>
              <w:t>se incidents are managed through procedures outlined in the behaviour policy or they have a standalone peer on peer/child on child abuse policy.  Where relevant, this should link to Part 5 of Keeping Children Safe in Education regarding child on child sexual violence and sexual harassment.</w:t>
            </w:r>
          </w:p>
        </w:tc>
      </w:tr>
      <w:tr w:rsidR="00F068D3" w:rsidRPr="00CD2C34" w14:paraId="5D3711C1" w14:textId="77777777" w:rsidTr="008D77B4">
        <w:tc>
          <w:tcPr>
            <w:tcW w:w="2093" w:type="dxa"/>
          </w:tcPr>
          <w:p w14:paraId="7B5ECC93" w14:textId="0F6C13B0" w:rsidR="00F068D3" w:rsidRPr="00CD2C34" w:rsidRDefault="00136DEA" w:rsidP="00617C1D">
            <w:pPr>
              <w:rPr>
                <w:rFonts w:cstheme="minorHAnsi"/>
                <w:sz w:val="21"/>
                <w:szCs w:val="21"/>
              </w:rPr>
            </w:pPr>
            <w:r w:rsidRPr="00CD2C34">
              <w:rPr>
                <w:rFonts w:cstheme="minorHAnsi"/>
                <w:sz w:val="21"/>
                <w:szCs w:val="21"/>
              </w:rPr>
              <w:t>Operation Endeavour</w:t>
            </w:r>
          </w:p>
        </w:tc>
        <w:tc>
          <w:tcPr>
            <w:tcW w:w="11623" w:type="dxa"/>
          </w:tcPr>
          <w:p w14:paraId="3487EA5F" w14:textId="18F04544" w:rsidR="00CD2C34" w:rsidRPr="00CD2C34" w:rsidRDefault="00F068D3" w:rsidP="00617C1D">
            <w:pPr>
              <w:rPr>
                <w:rFonts w:cstheme="minorHAnsi"/>
                <w:sz w:val="21"/>
                <w:szCs w:val="21"/>
              </w:rPr>
            </w:pPr>
            <w:r w:rsidRPr="00CD2C34">
              <w:rPr>
                <w:rFonts w:cstheme="minorHAnsi"/>
                <w:sz w:val="21"/>
                <w:szCs w:val="21"/>
              </w:rPr>
              <w:t xml:space="preserve">Operation Endeavour added to the policy outlining the local procedures for reporting missing children to schools.  </w:t>
            </w:r>
          </w:p>
        </w:tc>
      </w:tr>
      <w:tr w:rsidR="00F068D3" w:rsidRPr="00CD2C34" w14:paraId="0D6D20EA" w14:textId="77777777" w:rsidTr="008D77B4">
        <w:tc>
          <w:tcPr>
            <w:tcW w:w="2093" w:type="dxa"/>
          </w:tcPr>
          <w:p w14:paraId="3DDA8D76" w14:textId="2B90DDE7" w:rsidR="00F068D3" w:rsidRPr="00CD2C34" w:rsidRDefault="00136DEA" w:rsidP="00617C1D">
            <w:pPr>
              <w:rPr>
                <w:rFonts w:cstheme="minorHAnsi"/>
                <w:sz w:val="21"/>
                <w:szCs w:val="21"/>
              </w:rPr>
            </w:pPr>
            <w:r w:rsidRPr="00CD2C34">
              <w:rPr>
                <w:rFonts w:cstheme="minorHAnsi"/>
                <w:sz w:val="21"/>
                <w:szCs w:val="21"/>
              </w:rPr>
              <w:t>Signs and indicators of abuse</w:t>
            </w:r>
          </w:p>
        </w:tc>
        <w:tc>
          <w:tcPr>
            <w:tcW w:w="11623" w:type="dxa"/>
          </w:tcPr>
          <w:p w14:paraId="1B57ABF9" w14:textId="48CF21EE" w:rsidR="00F068D3" w:rsidRPr="00CD2C34" w:rsidRDefault="00F068D3" w:rsidP="00617C1D">
            <w:pPr>
              <w:rPr>
                <w:rFonts w:cstheme="minorHAnsi"/>
                <w:sz w:val="21"/>
                <w:szCs w:val="21"/>
              </w:rPr>
            </w:pPr>
            <w:r w:rsidRPr="00CD2C34">
              <w:rPr>
                <w:rFonts w:cstheme="minorHAnsi"/>
                <w:sz w:val="21"/>
                <w:szCs w:val="21"/>
              </w:rPr>
              <w:t xml:space="preserve">Full list of vulnerabilities added to policy from Keeping Children Safe in Education, Part 1 and link to NSPCC website added to </w:t>
            </w:r>
            <w:r w:rsidR="005D6D81">
              <w:rPr>
                <w:rFonts w:cstheme="minorHAnsi"/>
                <w:sz w:val="21"/>
                <w:szCs w:val="21"/>
              </w:rPr>
              <w:t xml:space="preserve">further </w:t>
            </w:r>
            <w:r w:rsidRPr="00CD2C34">
              <w:rPr>
                <w:rFonts w:cstheme="minorHAnsi"/>
                <w:sz w:val="21"/>
                <w:szCs w:val="21"/>
              </w:rPr>
              <w:t xml:space="preserve">highlight signs and indicators of abuse.  </w:t>
            </w:r>
            <w:r w:rsidR="00136DEA" w:rsidRPr="00CD2C34">
              <w:rPr>
                <w:rFonts w:cstheme="minorHAnsi"/>
                <w:sz w:val="21"/>
                <w:szCs w:val="21"/>
              </w:rPr>
              <w:t xml:space="preserve">Updated link added to the most recent </w:t>
            </w:r>
            <w:r w:rsidR="005D6D81">
              <w:rPr>
                <w:rFonts w:cstheme="minorHAnsi"/>
                <w:sz w:val="21"/>
                <w:szCs w:val="21"/>
              </w:rPr>
              <w:t xml:space="preserve">2014-2017 </w:t>
            </w:r>
            <w:r w:rsidR="00136DEA" w:rsidRPr="00CD2C34">
              <w:rPr>
                <w:rFonts w:cstheme="minorHAnsi"/>
                <w:sz w:val="21"/>
                <w:szCs w:val="21"/>
              </w:rPr>
              <w:t xml:space="preserve">analysis of serious case reviews.  </w:t>
            </w:r>
          </w:p>
        </w:tc>
      </w:tr>
      <w:tr w:rsidR="00F068D3" w:rsidRPr="00CD2C34" w14:paraId="199D7B72" w14:textId="77777777" w:rsidTr="008D77B4">
        <w:tc>
          <w:tcPr>
            <w:tcW w:w="2093" w:type="dxa"/>
          </w:tcPr>
          <w:p w14:paraId="24B111C0" w14:textId="6EA6AE4F" w:rsidR="00F068D3" w:rsidRPr="00CD2C34" w:rsidRDefault="00136DEA" w:rsidP="00617C1D">
            <w:pPr>
              <w:rPr>
                <w:rFonts w:cstheme="minorHAnsi"/>
                <w:sz w:val="21"/>
                <w:szCs w:val="21"/>
              </w:rPr>
            </w:pPr>
            <w:r w:rsidRPr="00CD2C34">
              <w:rPr>
                <w:rFonts w:cstheme="minorHAnsi"/>
                <w:sz w:val="21"/>
                <w:szCs w:val="21"/>
              </w:rPr>
              <w:t>Statutory RSE/</w:t>
            </w:r>
            <w:r w:rsidR="00CD2C34" w:rsidRPr="00CD2C34">
              <w:rPr>
                <w:rFonts w:cstheme="minorHAnsi"/>
                <w:sz w:val="21"/>
                <w:szCs w:val="21"/>
              </w:rPr>
              <w:t xml:space="preserve"> </w:t>
            </w:r>
            <w:r w:rsidRPr="00CD2C34">
              <w:rPr>
                <w:rFonts w:cstheme="minorHAnsi"/>
                <w:sz w:val="21"/>
                <w:szCs w:val="21"/>
              </w:rPr>
              <w:t xml:space="preserve">Health Education </w:t>
            </w:r>
          </w:p>
        </w:tc>
        <w:tc>
          <w:tcPr>
            <w:tcW w:w="11623" w:type="dxa"/>
          </w:tcPr>
          <w:p w14:paraId="2344988F" w14:textId="71BF4A44" w:rsidR="00F068D3" w:rsidRPr="00CD2C34" w:rsidRDefault="00F068D3" w:rsidP="00482721">
            <w:pPr>
              <w:rPr>
                <w:rFonts w:cstheme="minorHAnsi"/>
                <w:sz w:val="21"/>
                <w:szCs w:val="21"/>
              </w:rPr>
            </w:pPr>
            <w:r w:rsidRPr="00CD2C34">
              <w:rPr>
                <w:rFonts w:cstheme="minorHAnsi"/>
                <w:sz w:val="21"/>
                <w:szCs w:val="21"/>
              </w:rPr>
              <w:t>Updated information included on Statutory Relationship, Sex and Health Education from Sept 2020</w:t>
            </w:r>
          </w:p>
        </w:tc>
      </w:tr>
      <w:tr w:rsidR="00F068D3" w:rsidRPr="00CD2C34" w14:paraId="36231D36" w14:textId="77777777" w:rsidTr="008D77B4">
        <w:tc>
          <w:tcPr>
            <w:tcW w:w="2093" w:type="dxa"/>
          </w:tcPr>
          <w:p w14:paraId="4995818E" w14:textId="41E56690" w:rsidR="00F068D3" w:rsidRPr="00CD2C34" w:rsidRDefault="00136DEA" w:rsidP="00617C1D">
            <w:pPr>
              <w:rPr>
                <w:rFonts w:cstheme="minorHAnsi"/>
                <w:sz w:val="21"/>
                <w:szCs w:val="21"/>
              </w:rPr>
            </w:pPr>
            <w:r w:rsidRPr="00CD2C34">
              <w:rPr>
                <w:rFonts w:cstheme="minorHAnsi"/>
                <w:sz w:val="21"/>
                <w:szCs w:val="21"/>
              </w:rPr>
              <w:t>Online Safety</w:t>
            </w:r>
            <w:r w:rsidR="00FA05CD">
              <w:rPr>
                <w:rFonts w:cstheme="minorHAnsi"/>
                <w:sz w:val="21"/>
                <w:szCs w:val="21"/>
              </w:rPr>
              <w:t>/            e-learning</w:t>
            </w:r>
          </w:p>
        </w:tc>
        <w:tc>
          <w:tcPr>
            <w:tcW w:w="11623" w:type="dxa"/>
          </w:tcPr>
          <w:p w14:paraId="6E4A5EC8" w14:textId="44876310" w:rsidR="008D77B4" w:rsidRPr="00CD2C34" w:rsidRDefault="00F068D3" w:rsidP="00617C1D">
            <w:pPr>
              <w:rPr>
                <w:rFonts w:cstheme="minorHAnsi"/>
                <w:sz w:val="21"/>
                <w:szCs w:val="21"/>
              </w:rPr>
            </w:pPr>
            <w:r w:rsidRPr="00CD2C34">
              <w:rPr>
                <w:rFonts w:cstheme="minorHAnsi"/>
                <w:sz w:val="21"/>
                <w:szCs w:val="21"/>
              </w:rPr>
              <w:t xml:space="preserve">Additional information included to signpost schools to Annex C in Keeping Children Safe in Education 2020 which outlines support for governors, staff, pupils and parents regarding online safety. </w:t>
            </w:r>
            <w:r w:rsidR="00FA05CD">
              <w:rPr>
                <w:rFonts w:cstheme="minorHAnsi"/>
                <w:sz w:val="21"/>
                <w:szCs w:val="21"/>
              </w:rPr>
              <w:t xml:space="preserve"> DSLs should consider e-learning as an option to safeguarding CPD in addition to face to face training.  </w:t>
            </w:r>
            <w:r w:rsidRPr="00CD2C34">
              <w:rPr>
                <w:rFonts w:cstheme="minorHAnsi"/>
                <w:sz w:val="21"/>
                <w:szCs w:val="21"/>
              </w:rPr>
              <w:t xml:space="preserve"> </w:t>
            </w:r>
          </w:p>
        </w:tc>
      </w:tr>
      <w:tr w:rsidR="00F068D3" w:rsidRPr="00CD2C34" w14:paraId="69E82E1A" w14:textId="77777777" w:rsidTr="008D77B4">
        <w:tc>
          <w:tcPr>
            <w:tcW w:w="2093" w:type="dxa"/>
          </w:tcPr>
          <w:p w14:paraId="7C247283" w14:textId="4D558426" w:rsidR="00F068D3" w:rsidRPr="00CD2C34" w:rsidRDefault="00136DEA" w:rsidP="00617C1D">
            <w:pPr>
              <w:rPr>
                <w:rFonts w:cstheme="minorHAnsi"/>
                <w:sz w:val="21"/>
                <w:szCs w:val="21"/>
              </w:rPr>
            </w:pPr>
            <w:r w:rsidRPr="00CD2C34">
              <w:rPr>
                <w:rFonts w:cstheme="minorHAnsi"/>
                <w:sz w:val="21"/>
                <w:szCs w:val="21"/>
              </w:rPr>
              <w:t>MASH professional helpline</w:t>
            </w:r>
          </w:p>
        </w:tc>
        <w:tc>
          <w:tcPr>
            <w:tcW w:w="11623" w:type="dxa"/>
          </w:tcPr>
          <w:p w14:paraId="54919BA4" w14:textId="77777777" w:rsidR="00F068D3" w:rsidRDefault="00F068D3" w:rsidP="00617C1D">
            <w:pPr>
              <w:rPr>
                <w:rFonts w:cstheme="minorHAnsi"/>
                <w:sz w:val="21"/>
                <w:szCs w:val="21"/>
              </w:rPr>
            </w:pPr>
            <w:r w:rsidRPr="00CD2C34">
              <w:rPr>
                <w:rFonts w:cstheme="minorHAnsi"/>
                <w:sz w:val="21"/>
                <w:szCs w:val="21"/>
              </w:rPr>
              <w:t>Where the Front Door service is mentioned in the policy, the North Tyneside Multi-Agency Safeguarding Hub professional helpline has now also been added.</w:t>
            </w:r>
          </w:p>
          <w:p w14:paraId="4F64D264" w14:textId="2D05DA3A" w:rsidR="00FA05CD" w:rsidRPr="00CD2C34" w:rsidRDefault="00FA05CD" w:rsidP="00617C1D">
            <w:pPr>
              <w:rPr>
                <w:rFonts w:cstheme="minorHAnsi"/>
                <w:sz w:val="21"/>
                <w:szCs w:val="21"/>
              </w:rPr>
            </w:pPr>
          </w:p>
        </w:tc>
      </w:tr>
      <w:tr w:rsidR="00F068D3" w:rsidRPr="00CD2C34" w14:paraId="2DBABA28" w14:textId="77777777" w:rsidTr="008D77B4">
        <w:tc>
          <w:tcPr>
            <w:tcW w:w="2093" w:type="dxa"/>
          </w:tcPr>
          <w:p w14:paraId="0B3D8B3E" w14:textId="1A7444A5" w:rsidR="00F068D3" w:rsidRPr="00CD2C34" w:rsidRDefault="00136DEA" w:rsidP="00617C1D">
            <w:pPr>
              <w:rPr>
                <w:rFonts w:cstheme="minorHAnsi"/>
                <w:sz w:val="21"/>
                <w:szCs w:val="21"/>
              </w:rPr>
            </w:pPr>
            <w:r w:rsidRPr="00CD2C34">
              <w:rPr>
                <w:rFonts w:cstheme="minorHAnsi"/>
                <w:sz w:val="21"/>
                <w:szCs w:val="21"/>
              </w:rPr>
              <w:t>Child in Need review</w:t>
            </w:r>
          </w:p>
        </w:tc>
        <w:tc>
          <w:tcPr>
            <w:tcW w:w="11623" w:type="dxa"/>
          </w:tcPr>
          <w:p w14:paraId="53137D4C" w14:textId="4CD53259" w:rsidR="00F068D3" w:rsidRPr="00CD2C34" w:rsidRDefault="00F068D3" w:rsidP="00617C1D">
            <w:pPr>
              <w:rPr>
                <w:rFonts w:cstheme="minorHAnsi"/>
                <w:sz w:val="21"/>
                <w:szCs w:val="21"/>
              </w:rPr>
            </w:pPr>
            <w:r w:rsidRPr="00CD2C34">
              <w:rPr>
                <w:rFonts w:cstheme="minorHAnsi"/>
                <w:sz w:val="21"/>
                <w:szCs w:val="21"/>
              </w:rPr>
              <w:t xml:space="preserve">Information added to the policy in line with the recent Children in Need Review which has also been added to KCSE 2020.  This outlines the need for DSLs/DDSLs to be aware of children who have needed social work input so they can support staff to understand the challenges these children face and support adjustments to teaching and learning where necessary.  </w:t>
            </w:r>
          </w:p>
        </w:tc>
      </w:tr>
      <w:tr w:rsidR="00F068D3" w:rsidRPr="00CD2C34" w14:paraId="7537F89D" w14:textId="77777777" w:rsidTr="008D77B4">
        <w:trPr>
          <w:trHeight w:val="557"/>
        </w:trPr>
        <w:tc>
          <w:tcPr>
            <w:tcW w:w="2093" w:type="dxa"/>
          </w:tcPr>
          <w:p w14:paraId="6F84596F" w14:textId="5F57E08F" w:rsidR="00F068D3" w:rsidRPr="00CD2C34" w:rsidRDefault="00136DEA" w:rsidP="00617C1D">
            <w:pPr>
              <w:rPr>
                <w:rFonts w:cstheme="minorHAnsi"/>
                <w:sz w:val="21"/>
                <w:szCs w:val="21"/>
              </w:rPr>
            </w:pPr>
            <w:r w:rsidRPr="00CD2C34">
              <w:rPr>
                <w:rFonts w:cstheme="minorHAnsi"/>
                <w:sz w:val="21"/>
                <w:szCs w:val="21"/>
              </w:rPr>
              <w:t>Guidance for Safer Working practice</w:t>
            </w:r>
          </w:p>
        </w:tc>
        <w:tc>
          <w:tcPr>
            <w:tcW w:w="11623" w:type="dxa"/>
          </w:tcPr>
          <w:p w14:paraId="5A5B2219" w14:textId="2FF4CC5C" w:rsidR="00F068D3" w:rsidRPr="00CD2C34" w:rsidRDefault="00F068D3" w:rsidP="00617C1D">
            <w:pPr>
              <w:spacing w:after="100" w:afterAutospacing="1"/>
              <w:rPr>
                <w:rFonts w:cstheme="minorHAnsi"/>
                <w:sz w:val="21"/>
                <w:szCs w:val="21"/>
              </w:rPr>
            </w:pPr>
            <w:r w:rsidRPr="00CD2C34">
              <w:rPr>
                <w:rFonts w:cstheme="minorHAnsi"/>
                <w:sz w:val="21"/>
                <w:szCs w:val="21"/>
              </w:rPr>
              <w:t xml:space="preserve">Guidance for Safer Working practice document from the Safer Recruitment Consortium added to the list of induction documents to align with advice given by LA.  All other references to the Guidance for Safer Working practice document also outlines that a </w:t>
            </w:r>
            <w:r w:rsidR="005D6D81" w:rsidRPr="00CD2C34">
              <w:rPr>
                <w:rFonts w:cstheme="minorHAnsi"/>
                <w:sz w:val="21"/>
                <w:szCs w:val="21"/>
              </w:rPr>
              <w:t>Co</w:t>
            </w:r>
            <w:r w:rsidR="005D6D81">
              <w:rPr>
                <w:rFonts w:cstheme="minorHAnsi"/>
                <w:sz w:val="21"/>
                <w:szCs w:val="21"/>
              </w:rPr>
              <w:t>ronavirus</w:t>
            </w:r>
            <w:r w:rsidRPr="00CD2C34">
              <w:rPr>
                <w:rFonts w:cstheme="minorHAnsi"/>
                <w:sz w:val="21"/>
                <w:szCs w:val="21"/>
              </w:rPr>
              <w:t xml:space="preserve"> addendum</w:t>
            </w:r>
            <w:r w:rsidR="005D6D81">
              <w:rPr>
                <w:rFonts w:cstheme="minorHAnsi"/>
                <w:sz w:val="21"/>
                <w:szCs w:val="21"/>
              </w:rPr>
              <w:t xml:space="preserve"> to the guidance</w:t>
            </w:r>
            <w:r w:rsidRPr="00CD2C34">
              <w:rPr>
                <w:rFonts w:cstheme="minorHAnsi"/>
                <w:sz w:val="21"/>
                <w:szCs w:val="21"/>
              </w:rPr>
              <w:t xml:space="preserve"> is available on the Safer Recruitment Consortium website.</w:t>
            </w:r>
          </w:p>
        </w:tc>
      </w:tr>
      <w:tr w:rsidR="00F068D3" w:rsidRPr="00CD2C34" w14:paraId="7B381A9C" w14:textId="77777777" w:rsidTr="008D77B4">
        <w:trPr>
          <w:trHeight w:val="557"/>
        </w:trPr>
        <w:tc>
          <w:tcPr>
            <w:tcW w:w="2093" w:type="dxa"/>
          </w:tcPr>
          <w:p w14:paraId="08E25235" w14:textId="63C1E351" w:rsidR="00F068D3" w:rsidRPr="00CD2C34" w:rsidRDefault="00136DEA" w:rsidP="00617C1D">
            <w:pPr>
              <w:rPr>
                <w:rFonts w:cstheme="minorHAnsi"/>
                <w:sz w:val="21"/>
                <w:szCs w:val="21"/>
              </w:rPr>
            </w:pPr>
            <w:r w:rsidRPr="00CD2C34">
              <w:rPr>
                <w:rFonts w:cstheme="minorHAnsi"/>
                <w:sz w:val="21"/>
                <w:szCs w:val="21"/>
              </w:rPr>
              <w:t>Section 11 audit</w:t>
            </w:r>
          </w:p>
        </w:tc>
        <w:tc>
          <w:tcPr>
            <w:tcW w:w="11623" w:type="dxa"/>
          </w:tcPr>
          <w:p w14:paraId="4281737B" w14:textId="72F1C07C" w:rsidR="00F068D3" w:rsidRPr="00CD2C34" w:rsidRDefault="00F068D3" w:rsidP="00617C1D">
            <w:pPr>
              <w:spacing w:after="100" w:afterAutospacing="1"/>
              <w:rPr>
                <w:rFonts w:cstheme="minorHAnsi"/>
                <w:sz w:val="21"/>
                <w:szCs w:val="21"/>
              </w:rPr>
            </w:pPr>
            <w:r w:rsidRPr="00CD2C34">
              <w:rPr>
                <w:rFonts w:cstheme="minorHAnsi"/>
                <w:sz w:val="21"/>
                <w:szCs w:val="21"/>
              </w:rPr>
              <w:t>The wording regarding returning the Section 11 audit ‘</w:t>
            </w:r>
            <w:r w:rsidRPr="00CD2C34">
              <w:rPr>
                <w:rFonts w:cstheme="minorHAnsi"/>
                <w:i/>
                <w:iCs/>
                <w:sz w:val="21"/>
                <w:szCs w:val="21"/>
              </w:rPr>
              <w:t>annually</w:t>
            </w:r>
            <w:r w:rsidRPr="00CD2C34">
              <w:rPr>
                <w:rFonts w:cstheme="minorHAnsi"/>
                <w:sz w:val="21"/>
                <w:szCs w:val="21"/>
              </w:rPr>
              <w:t>’ to the North Tyneside Safeguarding Children Partnership (NTSCP) has been amended to ‘</w:t>
            </w:r>
            <w:r w:rsidRPr="00CD2C34">
              <w:rPr>
                <w:rFonts w:cstheme="minorHAnsi"/>
                <w:i/>
                <w:iCs/>
                <w:sz w:val="21"/>
                <w:szCs w:val="21"/>
              </w:rPr>
              <w:t xml:space="preserve">as and when requested’ </w:t>
            </w:r>
            <w:r w:rsidRPr="00CD2C34">
              <w:rPr>
                <w:rFonts w:cstheme="minorHAnsi"/>
                <w:sz w:val="21"/>
                <w:szCs w:val="21"/>
              </w:rPr>
              <w:t>as a proposed issues date is currently unknown.</w:t>
            </w:r>
          </w:p>
        </w:tc>
      </w:tr>
      <w:tr w:rsidR="00F068D3" w:rsidRPr="00CD2C34" w14:paraId="77C8EC3C" w14:textId="77777777" w:rsidTr="008D77B4">
        <w:trPr>
          <w:trHeight w:val="557"/>
        </w:trPr>
        <w:tc>
          <w:tcPr>
            <w:tcW w:w="2093" w:type="dxa"/>
          </w:tcPr>
          <w:p w14:paraId="3CA13BA4" w14:textId="74EFF6D1" w:rsidR="00F068D3" w:rsidRPr="00CD2C34" w:rsidRDefault="00136DEA" w:rsidP="00617C1D">
            <w:pPr>
              <w:rPr>
                <w:rFonts w:cstheme="minorHAnsi"/>
                <w:sz w:val="21"/>
                <w:szCs w:val="21"/>
              </w:rPr>
            </w:pPr>
            <w:r w:rsidRPr="00CD2C34">
              <w:rPr>
                <w:rFonts w:cstheme="minorHAnsi"/>
                <w:sz w:val="21"/>
                <w:szCs w:val="21"/>
              </w:rPr>
              <w:t>Early Help</w:t>
            </w:r>
          </w:p>
        </w:tc>
        <w:tc>
          <w:tcPr>
            <w:tcW w:w="11623" w:type="dxa"/>
          </w:tcPr>
          <w:p w14:paraId="2B5505B6" w14:textId="7C730E45" w:rsidR="00044DF4" w:rsidRPr="00CD2C34" w:rsidRDefault="00044DF4" w:rsidP="00617C1D">
            <w:pPr>
              <w:spacing w:after="100" w:afterAutospacing="1"/>
              <w:rPr>
                <w:rFonts w:cstheme="minorHAnsi"/>
                <w:sz w:val="21"/>
                <w:szCs w:val="21"/>
              </w:rPr>
            </w:pPr>
            <w:r w:rsidRPr="00CD2C34">
              <w:rPr>
                <w:rFonts w:cstheme="minorHAnsi"/>
                <w:sz w:val="21"/>
                <w:szCs w:val="21"/>
              </w:rPr>
              <w:t xml:space="preserve">Added in </w:t>
            </w:r>
            <w:r w:rsidR="005D6D81">
              <w:rPr>
                <w:rFonts w:cstheme="minorHAnsi"/>
                <w:sz w:val="21"/>
                <w:szCs w:val="21"/>
              </w:rPr>
              <w:t xml:space="preserve">a </w:t>
            </w:r>
            <w:r w:rsidRPr="00CD2C34">
              <w:rPr>
                <w:rFonts w:cstheme="minorHAnsi"/>
                <w:sz w:val="21"/>
                <w:szCs w:val="21"/>
              </w:rPr>
              <w:t>link to North Tyneside Council’s Early Help page for further support and information.</w:t>
            </w:r>
          </w:p>
        </w:tc>
      </w:tr>
      <w:tr w:rsidR="00F068D3" w:rsidRPr="00CD2C34" w14:paraId="19FFEC8F" w14:textId="77777777" w:rsidTr="008D77B4">
        <w:trPr>
          <w:trHeight w:val="557"/>
        </w:trPr>
        <w:tc>
          <w:tcPr>
            <w:tcW w:w="2093" w:type="dxa"/>
          </w:tcPr>
          <w:p w14:paraId="2227E33C" w14:textId="07978385" w:rsidR="00F068D3" w:rsidRPr="00CD2C34" w:rsidRDefault="00044DF4" w:rsidP="00617C1D">
            <w:pPr>
              <w:rPr>
                <w:rFonts w:cstheme="minorHAnsi"/>
                <w:sz w:val="21"/>
                <w:szCs w:val="21"/>
              </w:rPr>
            </w:pPr>
            <w:r w:rsidRPr="00CD2C34">
              <w:rPr>
                <w:rFonts w:cstheme="minorHAnsi"/>
                <w:sz w:val="21"/>
                <w:szCs w:val="21"/>
              </w:rPr>
              <w:t xml:space="preserve">Escalation and effective challenge procedures </w:t>
            </w:r>
          </w:p>
        </w:tc>
        <w:tc>
          <w:tcPr>
            <w:tcW w:w="11623" w:type="dxa"/>
          </w:tcPr>
          <w:p w14:paraId="4D5A3DC1" w14:textId="5E9B1E44" w:rsidR="00F068D3" w:rsidRPr="00CD2C34" w:rsidRDefault="00044DF4" w:rsidP="00617C1D">
            <w:pPr>
              <w:spacing w:after="100" w:afterAutospacing="1"/>
              <w:rPr>
                <w:rFonts w:cstheme="minorHAnsi"/>
                <w:sz w:val="21"/>
                <w:szCs w:val="21"/>
              </w:rPr>
            </w:pPr>
            <w:r w:rsidRPr="00CD2C34">
              <w:rPr>
                <w:rFonts w:cstheme="minorHAnsi"/>
                <w:sz w:val="21"/>
                <w:szCs w:val="21"/>
              </w:rPr>
              <w:t xml:space="preserve">Added the North Tyneside process for escalating concerns about a child’s welfare.  This is so professionals have clear procedures in place to quickly and easily challenge decision making if felt necessary as recommended by serious case reviews.  Paper copies should be made available so they can be accessed by all staff.  </w:t>
            </w:r>
          </w:p>
        </w:tc>
      </w:tr>
      <w:tr w:rsidR="00F068D3" w:rsidRPr="00CD2C34" w14:paraId="22B675E2" w14:textId="77777777" w:rsidTr="008D77B4">
        <w:trPr>
          <w:trHeight w:val="557"/>
        </w:trPr>
        <w:tc>
          <w:tcPr>
            <w:tcW w:w="2093" w:type="dxa"/>
          </w:tcPr>
          <w:p w14:paraId="37CFA418" w14:textId="23B0202C" w:rsidR="00F068D3" w:rsidRPr="00CD2C34" w:rsidRDefault="00044DF4" w:rsidP="00617C1D">
            <w:pPr>
              <w:rPr>
                <w:rFonts w:cstheme="minorHAnsi"/>
                <w:sz w:val="21"/>
                <w:szCs w:val="21"/>
              </w:rPr>
            </w:pPr>
            <w:r w:rsidRPr="00CD2C34">
              <w:rPr>
                <w:rFonts w:cstheme="minorHAnsi"/>
                <w:sz w:val="21"/>
                <w:szCs w:val="21"/>
              </w:rPr>
              <w:t>Mental Health</w:t>
            </w:r>
          </w:p>
        </w:tc>
        <w:tc>
          <w:tcPr>
            <w:tcW w:w="11623" w:type="dxa"/>
          </w:tcPr>
          <w:p w14:paraId="5A239921" w14:textId="5DAEC3E3" w:rsidR="00F068D3" w:rsidRPr="00CD2C34" w:rsidRDefault="00044DF4" w:rsidP="00617C1D">
            <w:pPr>
              <w:spacing w:after="100" w:afterAutospacing="1"/>
              <w:rPr>
                <w:rFonts w:cstheme="minorHAnsi"/>
                <w:sz w:val="21"/>
                <w:szCs w:val="21"/>
              </w:rPr>
            </w:pPr>
            <w:r w:rsidRPr="00CD2C34">
              <w:rPr>
                <w:rFonts w:cstheme="minorHAnsi"/>
                <w:sz w:val="21"/>
                <w:szCs w:val="21"/>
              </w:rPr>
              <w:t xml:space="preserve">More information added to the policy regarding child and adolescence mental health in line with new information in Keeping Children Safe in Education </w:t>
            </w:r>
            <w:r w:rsidR="008D77B4">
              <w:rPr>
                <w:rFonts w:cstheme="minorHAnsi"/>
                <w:sz w:val="21"/>
                <w:szCs w:val="21"/>
              </w:rPr>
              <w:t>such as</w:t>
            </w:r>
            <w:r w:rsidRPr="00CD2C34">
              <w:rPr>
                <w:rFonts w:cstheme="minorHAnsi"/>
                <w:sz w:val="21"/>
                <w:szCs w:val="21"/>
              </w:rPr>
              <w:t xml:space="preserve"> behaviours linked to mental health and considering mental health in </w:t>
            </w:r>
            <w:r w:rsidR="008D77B4">
              <w:rPr>
                <w:rFonts w:cstheme="minorHAnsi"/>
                <w:sz w:val="21"/>
                <w:szCs w:val="21"/>
              </w:rPr>
              <w:t>a</w:t>
            </w:r>
            <w:r w:rsidRPr="00CD2C34">
              <w:rPr>
                <w:rFonts w:cstheme="minorHAnsi"/>
                <w:sz w:val="21"/>
                <w:szCs w:val="21"/>
              </w:rPr>
              <w:t xml:space="preserve"> safeguarding</w:t>
            </w:r>
            <w:r w:rsidR="008D77B4" w:rsidRPr="00CD2C34">
              <w:rPr>
                <w:rFonts w:cstheme="minorHAnsi"/>
                <w:sz w:val="21"/>
                <w:szCs w:val="21"/>
              </w:rPr>
              <w:t xml:space="preserve"> </w:t>
            </w:r>
            <w:r w:rsidR="008D77B4" w:rsidRPr="00CD2C34">
              <w:rPr>
                <w:rFonts w:cstheme="minorHAnsi"/>
                <w:sz w:val="21"/>
                <w:szCs w:val="21"/>
              </w:rPr>
              <w:t>context</w:t>
            </w:r>
            <w:r w:rsidRPr="00CD2C34">
              <w:rPr>
                <w:rFonts w:cstheme="minorHAnsi"/>
                <w:sz w:val="21"/>
                <w:szCs w:val="21"/>
              </w:rPr>
              <w:t>.</w:t>
            </w:r>
          </w:p>
        </w:tc>
      </w:tr>
      <w:tr w:rsidR="00044DF4" w:rsidRPr="00CD2C34" w14:paraId="0692499D" w14:textId="77777777" w:rsidTr="008D77B4">
        <w:trPr>
          <w:trHeight w:val="557"/>
        </w:trPr>
        <w:tc>
          <w:tcPr>
            <w:tcW w:w="2093" w:type="dxa"/>
          </w:tcPr>
          <w:p w14:paraId="05DFF08F" w14:textId="68BA95FA" w:rsidR="00044DF4" w:rsidRPr="00CD2C34" w:rsidRDefault="00044DF4" w:rsidP="00617C1D">
            <w:pPr>
              <w:rPr>
                <w:rFonts w:cstheme="minorHAnsi"/>
                <w:sz w:val="21"/>
                <w:szCs w:val="21"/>
              </w:rPr>
            </w:pPr>
            <w:r w:rsidRPr="00CD2C34">
              <w:rPr>
                <w:rFonts w:cstheme="minorHAnsi"/>
                <w:sz w:val="21"/>
                <w:szCs w:val="21"/>
              </w:rPr>
              <w:t xml:space="preserve">Exploitation </w:t>
            </w:r>
          </w:p>
        </w:tc>
        <w:tc>
          <w:tcPr>
            <w:tcW w:w="11623" w:type="dxa"/>
          </w:tcPr>
          <w:p w14:paraId="7B1C450F" w14:textId="2F061626" w:rsidR="00044DF4" w:rsidRPr="00CD2C34" w:rsidRDefault="00226C79" w:rsidP="00617C1D">
            <w:pPr>
              <w:spacing w:after="100" w:afterAutospacing="1"/>
              <w:rPr>
                <w:rFonts w:cstheme="minorHAnsi"/>
                <w:sz w:val="21"/>
                <w:szCs w:val="21"/>
              </w:rPr>
            </w:pPr>
            <w:r w:rsidRPr="00CD2C34">
              <w:rPr>
                <w:rFonts w:cstheme="minorHAnsi"/>
                <w:sz w:val="21"/>
                <w:szCs w:val="21"/>
              </w:rPr>
              <w:t>New paragraph added to the policy to consider the need to support pupils who have been exploited.</w:t>
            </w:r>
          </w:p>
        </w:tc>
      </w:tr>
      <w:tr w:rsidR="00044DF4" w:rsidRPr="00CD2C34" w14:paraId="0FA469A6" w14:textId="77777777" w:rsidTr="008D77B4">
        <w:trPr>
          <w:trHeight w:val="557"/>
        </w:trPr>
        <w:tc>
          <w:tcPr>
            <w:tcW w:w="2093" w:type="dxa"/>
          </w:tcPr>
          <w:p w14:paraId="4BF13DB1" w14:textId="422D9A10" w:rsidR="00044DF4" w:rsidRPr="00CD2C34" w:rsidRDefault="00226C79" w:rsidP="00617C1D">
            <w:pPr>
              <w:rPr>
                <w:rFonts w:cstheme="minorHAnsi"/>
                <w:sz w:val="21"/>
                <w:szCs w:val="21"/>
              </w:rPr>
            </w:pPr>
            <w:r w:rsidRPr="00CD2C34">
              <w:rPr>
                <w:rFonts w:cstheme="minorHAnsi"/>
                <w:sz w:val="21"/>
                <w:szCs w:val="21"/>
              </w:rPr>
              <w:t>Recruitment</w:t>
            </w:r>
          </w:p>
        </w:tc>
        <w:tc>
          <w:tcPr>
            <w:tcW w:w="11623" w:type="dxa"/>
          </w:tcPr>
          <w:p w14:paraId="00D893A2" w14:textId="6A97CD52" w:rsidR="00044DF4" w:rsidRPr="00CD2C34" w:rsidRDefault="00226C79" w:rsidP="00617C1D">
            <w:pPr>
              <w:spacing w:after="100" w:afterAutospacing="1"/>
              <w:rPr>
                <w:rFonts w:cstheme="minorHAnsi"/>
                <w:sz w:val="21"/>
                <w:szCs w:val="21"/>
              </w:rPr>
            </w:pPr>
            <w:r w:rsidRPr="00CD2C34">
              <w:rPr>
                <w:rFonts w:cstheme="minorHAnsi"/>
                <w:sz w:val="21"/>
                <w:szCs w:val="21"/>
              </w:rPr>
              <w:t xml:space="preserve">The policy now includes the need for at least one interview panel member to have safer recruitment training.  Information has been added to clarify that Section 128 checks also apply to governors of maintained schools.  </w:t>
            </w:r>
          </w:p>
        </w:tc>
      </w:tr>
      <w:tr w:rsidR="00044DF4" w:rsidRPr="00CD2C34" w14:paraId="29B4D983" w14:textId="77777777" w:rsidTr="008D77B4">
        <w:trPr>
          <w:trHeight w:val="557"/>
        </w:trPr>
        <w:tc>
          <w:tcPr>
            <w:tcW w:w="2093" w:type="dxa"/>
          </w:tcPr>
          <w:p w14:paraId="2878C4E6" w14:textId="052D683A" w:rsidR="00044DF4" w:rsidRPr="00CD2C34" w:rsidRDefault="00226C79" w:rsidP="00617C1D">
            <w:pPr>
              <w:rPr>
                <w:rFonts w:cstheme="minorHAnsi"/>
                <w:sz w:val="21"/>
                <w:szCs w:val="21"/>
              </w:rPr>
            </w:pPr>
            <w:r w:rsidRPr="00CD2C34">
              <w:rPr>
                <w:rFonts w:cstheme="minorHAnsi"/>
                <w:sz w:val="21"/>
                <w:szCs w:val="21"/>
              </w:rPr>
              <w:t xml:space="preserve">Reference Document A:  Contact details </w:t>
            </w:r>
          </w:p>
        </w:tc>
        <w:tc>
          <w:tcPr>
            <w:tcW w:w="11623" w:type="dxa"/>
          </w:tcPr>
          <w:p w14:paraId="3C267074" w14:textId="2ED8F4DF" w:rsidR="00044DF4" w:rsidRPr="00CD2C34" w:rsidRDefault="00226C79" w:rsidP="00617C1D">
            <w:pPr>
              <w:spacing w:after="100" w:afterAutospacing="1"/>
              <w:rPr>
                <w:rFonts w:cstheme="minorHAnsi"/>
                <w:sz w:val="21"/>
                <w:szCs w:val="21"/>
              </w:rPr>
            </w:pPr>
            <w:r w:rsidRPr="00CD2C34">
              <w:rPr>
                <w:rFonts w:cstheme="minorHAnsi"/>
                <w:sz w:val="21"/>
                <w:szCs w:val="21"/>
              </w:rPr>
              <w:t xml:space="preserve">The out of hours number for the Front Door has been changed and the North Tyneside Multi-Agency Safeguarding Hub professional helpline has now also been added to </w:t>
            </w:r>
            <w:r w:rsidR="005D6D81" w:rsidRPr="00CD2C34">
              <w:rPr>
                <w:rFonts w:cstheme="minorHAnsi"/>
                <w:sz w:val="21"/>
                <w:szCs w:val="21"/>
              </w:rPr>
              <w:t>Reference Document A</w:t>
            </w:r>
            <w:r w:rsidRPr="00CD2C34">
              <w:rPr>
                <w:rFonts w:cstheme="minorHAnsi"/>
                <w:sz w:val="21"/>
                <w:szCs w:val="21"/>
              </w:rPr>
              <w:t xml:space="preserve">.  </w:t>
            </w:r>
          </w:p>
        </w:tc>
      </w:tr>
      <w:tr w:rsidR="00044DF4" w:rsidRPr="00CD2C34" w14:paraId="4399BF9F" w14:textId="77777777" w:rsidTr="008D77B4">
        <w:trPr>
          <w:trHeight w:val="1549"/>
        </w:trPr>
        <w:tc>
          <w:tcPr>
            <w:tcW w:w="2093" w:type="dxa"/>
          </w:tcPr>
          <w:p w14:paraId="0D1AEA78" w14:textId="24B243E7" w:rsidR="00044DF4" w:rsidRPr="00CD2C34" w:rsidRDefault="00226C79" w:rsidP="00617C1D">
            <w:pPr>
              <w:rPr>
                <w:rFonts w:cstheme="minorHAnsi"/>
                <w:sz w:val="21"/>
                <w:szCs w:val="21"/>
              </w:rPr>
            </w:pPr>
            <w:r w:rsidRPr="00CD2C34">
              <w:rPr>
                <w:rFonts w:cstheme="minorHAnsi"/>
                <w:sz w:val="21"/>
                <w:szCs w:val="21"/>
              </w:rPr>
              <w:t>Reference Document B:  Links to other policies in school</w:t>
            </w:r>
          </w:p>
        </w:tc>
        <w:tc>
          <w:tcPr>
            <w:tcW w:w="11623" w:type="dxa"/>
          </w:tcPr>
          <w:p w14:paraId="2DB6CB03" w14:textId="77777777" w:rsidR="008D77B4" w:rsidRDefault="00226C79" w:rsidP="008D77B4">
            <w:pPr>
              <w:pStyle w:val="ListParagraph"/>
              <w:numPr>
                <w:ilvl w:val="0"/>
                <w:numId w:val="5"/>
              </w:numPr>
              <w:spacing w:after="100" w:afterAutospacing="1"/>
              <w:rPr>
                <w:rFonts w:cstheme="minorHAnsi"/>
                <w:sz w:val="21"/>
                <w:szCs w:val="21"/>
              </w:rPr>
            </w:pPr>
            <w:r w:rsidRPr="00CD2C34">
              <w:rPr>
                <w:rFonts w:cstheme="minorHAnsi"/>
                <w:sz w:val="21"/>
                <w:szCs w:val="21"/>
              </w:rPr>
              <w:t xml:space="preserve">Removed Early Help policy/procedures from </w:t>
            </w:r>
            <w:r w:rsidR="005D6D81">
              <w:rPr>
                <w:rFonts w:cstheme="minorHAnsi"/>
                <w:sz w:val="21"/>
                <w:szCs w:val="21"/>
              </w:rPr>
              <w:t xml:space="preserve">policy </w:t>
            </w:r>
            <w:r w:rsidRPr="00CD2C34">
              <w:rPr>
                <w:rFonts w:cstheme="minorHAnsi"/>
                <w:sz w:val="21"/>
                <w:szCs w:val="21"/>
              </w:rPr>
              <w:t>list as th</w:t>
            </w:r>
            <w:r w:rsidR="005D6D81">
              <w:rPr>
                <w:rFonts w:cstheme="minorHAnsi"/>
                <w:sz w:val="21"/>
                <w:szCs w:val="21"/>
              </w:rPr>
              <w:t>is is</w:t>
            </w:r>
            <w:r w:rsidRPr="00CD2C34">
              <w:rPr>
                <w:rFonts w:cstheme="minorHAnsi"/>
                <w:sz w:val="21"/>
                <w:szCs w:val="21"/>
              </w:rPr>
              <w:t xml:space="preserve"> now included in main policy as an integral part of safeguarding processes.</w:t>
            </w:r>
          </w:p>
          <w:p w14:paraId="4F7B453A" w14:textId="578BEAAD" w:rsidR="00226C79" w:rsidRPr="008D77B4" w:rsidRDefault="00226C79" w:rsidP="008D77B4">
            <w:pPr>
              <w:pStyle w:val="ListParagraph"/>
              <w:numPr>
                <w:ilvl w:val="0"/>
                <w:numId w:val="5"/>
              </w:numPr>
              <w:spacing w:after="100" w:afterAutospacing="1"/>
              <w:rPr>
                <w:rFonts w:cstheme="minorHAnsi"/>
                <w:sz w:val="21"/>
                <w:szCs w:val="21"/>
              </w:rPr>
            </w:pPr>
            <w:r w:rsidRPr="008D77B4">
              <w:rPr>
                <w:rFonts w:cstheme="minorHAnsi"/>
                <w:sz w:val="21"/>
                <w:szCs w:val="21"/>
              </w:rPr>
              <w:t xml:space="preserve">Child/young person’s mental health and wellbeing policy </w:t>
            </w:r>
            <w:r w:rsidR="005D6D81" w:rsidRPr="008D77B4">
              <w:rPr>
                <w:rFonts w:cstheme="minorHAnsi"/>
                <w:sz w:val="21"/>
                <w:szCs w:val="21"/>
              </w:rPr>
              <w:t xml:space="preserve">is needed </w:t>
            </w:r>
            <w:r w:rsidRPr="008D77B4">
              <w:rPr>
                <w:rFonts w:cstheme="minorHAnsi"/>
                <w:sz w:val="21"/>
                <w:szCs w:val="21"/>
              </w:rPr>
              <w:t>as Keeping Children Safe in Education outlines that schools should have clear process in place to support mental health issues.</w:t>
            </w:r>
          </w:p>
          <w:p w14:paraId="4BA5C855" w14:textId="77777777" w:rsidR="008D77B4" w:rsidRDefault="00C95B0E" w:rsidP="00CD2C34">
            <w:pPr>
              <w:pStyle w:val="ListParagraph"/>
              <w:numPr>
                <w:ilvl w:val="0"/>
                <w:numId w:val="5"/>
              </w:numPr>
              <w:spacing w:after="100" w:afterAutospacing="1"/>
              <w:rPr>
                <w:rFonts w:cstheme="minorHAnsi"/>
                <w:sz w:val="21"/>
                <w:szCs w:val="21"/>
              </w:rPr>
            </w:pPr>
            <w:r w:rsidRPr="00CD2C34">
              <w:rPr>
                <w:rFonts w:cstheme="minorHAnsi"/>
                <w:sz w:val="21"/>
                <w:szCs w:val="21"/>
              </w:rPr>
              <w:t>Peer on peer/child on child abuse policy to be in place as a standalone policy or explicitly in the behaviour policy. Schools</w:t>
            </w:r>
          </w:p>
          <w:p w14:paraId="5CA1BB42" w14:textId="3480C8D8" w:rsidR="00CD2C34" w:rsidRPr="00CD2C34" w:rsidRDefault="00C95B0E" w:rsidP="008D77B4">
            <w:pPr>
              <w:pStyle w:val="ListParagraph"/>
              <w:spacing w:after="100" w:afterAutospacing="1"/>
              <w:ind w:left="360"/>
              <w:rPr>
                <w:rFonts w:cstheme="minorHAnsi"/>
                <w:sz w:val="21"/>
                <w:szCs w:val="21"/>
              </w:rPr>
            </w:pPr>
            <w:r w:rsidRPr="00CD2C34">
              <w:rPr>
                <w:rFonts w:cstheme="minorHAnsi"/>
                <w:sz w:val="21"/>
                <w:szCs w:val="21"/>
              </w:rPr>
              <w:t xml:space="preserve">should indicate which policy these incidents are managed through and amend Ref Doc B list accordingly. </w:t>
            </w:r>
          </w:p>
        </w:tc>
      </w:tr>
      <w:tr w:rsidR="00044DF4" w:rsidRPr="00CD2C34" w14:paraId="50DC1F03" w14:textId="77777777" w:rsidTr="008D77B4">
        <w:trPr>
          <w:trHeight w:val="416"/>
        </w:trPr>
        <w:tc>
          <w:tcPr>
            <w:tcW w:w="2093" w:type="dxa"/>
          </w:tcPr>
          <w:p w14:paraId="2F468694" w14:textId="43A39820" w:rsidR="00CD2C34" w:rsidRPr="00CD2C34" w:rsidRDefault="00C95B0E" w:rsidP="00617C1D">
            <w:pPr>
              <w:rPr>
                <w:rFonts w:cstheme="minorHAnsi"/>
                <w:sz w:val="21"/>
                <w:szCs w:val="21"/>
              </w:rPr>
            </w:pPr>
            <w:r w:rsidRPr="00CD2C34">
              <w:rPr>
                <w:rFonts w:cstheme="minorHAnsi"/>
                <w:sz w:val="21"/>
                <w:szCs w:val="21"/>
              </w:rPr>
              <w:t>Governors checklist</w:t>
            </w:r>
          </w:p>
        </w:tc>
        <w:tc>
          <w:tcPr>
            <w:tcW w:w="11623" w:type="dxa"/>
          </w:tcPr>
          <w:p w14:paraId="743B6D6F" w14:textId="296F7892" w:rsidR="00C95B0E" w:rsidRPr="00CD2C34" w:rsidRDefault="00C95B0E" w:rsidP="00CD2C34">
            <w:pPr>
              <w:pStyle w:val="ListParagraph"/>
              <w:numPr>
                <w:ilvl w:val="0"/>
                <w:numId w:val="6"/>
              </w:numPr>
              <w:spacing w:after="100" w:afterAutospacing="1"/>
              <w:rPr>
                <w:rFonts w:cstheme="minorHAnsi"/>
                <w:sz w:val="21"/>
                <w:szCs w:val="21"/>
              </w:rPr>
            </w:pPr>
            <w:r w:rsidRPr="00CD2C34">
              <w:rPr>
                <w:rFonts w:cstheme="minorHAnsi"/>
                <w:sz w:val="21"/>
                <w:szCs w:val="21"/>
              </w:rPr>
              <w:t>Whistleblowing added to induction list in governors</w:t>
            </w:r>
            <w:r w:rsidR="005D6D81">
              <w:rPr>
                <w:rFonts w:cstheme="minorHAnsi"/>
                <w:sz w:val="21"/>
                <w:szCs w:val="21"/>
              </w:rPr>
              <w:t>’</w:t>
            </w:r>
            <w:r w:rsidRPr="00CD2C34">
              <w:rPr>
                <w:rFonts w:cstheme="minorHAnsi"/>
                <w:sz w:val="21"/>
                <w:szCs w:val="21"/>
              </w:rPr>
              <w:t xml:space="preserve"> checklist.  </w:t>
            </w:r>
          </w:p>
          <w:p w14:paraId="4B866FA0" w14:textId="034105AF" w:rsidR="00044DF4" w:rsidRPr="00CD2C34" w:rsidRDefault="00C95B0E" w:rsidP="00CD2C34">
            <w:pPr>
              <w:pStyle w:val="ListParagraph"/>
              <w:numPr>
                <w:ilvl w:val="0"/>
                <w:numId w:val="6"/>
              </w:numPr>
              <w:spacing w:after="100" w:afterAutospacing="1"/>
              <w:rPr>
                <w:rFonts w:cstheme="minorHAnsi"/>
                <w:sz w:val="21"/>
                <w:szCs w:val="21"/>
              </w:rPr>
            </w:pPr>
            <w:r w:rsidRPr="00CD2C34">
              <w:rPr>
                <w:rFonts w:cstheme="minorHAnsi"/>
                <w:sz w:val="21"/>
                <w:szCs w:val="21"/>
              </w:rPr>
              <w:t>The statement regarding the LADO role has been reworded to now outline the need for the LADO role to be understood by ‘</w:t>
            </w:r>
            <w:r w:rsidRPr="00CD2C34">
              <w:rPr>
                <w:rFonts w:cstheme="minorHAnsi"/>
                <w:i/>
                <w:iCs/>
                <w:sz w:val="21"/>
                <w:szCs w:val="21"/>
              </w:rPr>
              <w:t xml:space="preserve">relevant staff and governors’ </w:t>
            </w:r>
            <w:r w:rsidRPr="00CD2C34">
              <w:rPr>
                <w:rFonts w:cstheme="minorHAnsi"/>
                <w:sz w:val="21"/>
                <w:szCs w:val="21"/>
              </w:rPr>
              <w:t xml:space="preserve">rather than just DSLs. </w:t>
            </w:r>
          </w:p>
          <w:p w14:paraId="3FA5A5F3" w14:textId="3EB1B6C6" w:rsidR="00C95B0E" w:rsidRPr="00CD2C34" w:rsidRDefault="00CD2C34" w:rsidP="008D77B4">
            <w:pPr>
              <w:pStyle w:val="ListParagraph"/>
              <w:spacing w:after="100" w:afterAutospacing="1"/>
              <w:ind w:left="360"/>
              <w:rPr>
                <w:rFonts w:cstheme="minorHAnsi"/>
                <w:sz w:val="21"/>
                <w:szCs w:val="21"/>
              </w:rPr>
            </w:pPr>
            <w:r w:rsidRPr="00CD2C34">
              <w:rPr>
                <w:rFonts w:cstheme="minorHAnsi"/>
                <w:sz w:val="21"/>
                <w:szCs w:val="21"/>
              </w:rPr>
              <w:t xml:space="preserve">Link to the most recent version (April 2019) of the HR visitors signing in protocol added. </w:t>
            </w:r>
          </w:p>
        </w:tc>
      </w:tr>
    </w:tbl>
    <w:p w14:paraId="7F498F93" w14:textId="77777777" w:rsidR="00F3334C" w:rsidRDefault="00F3334C"/>
    <w:sectPr w:rsidR="00F3334C" w:rsidSect="00CD2C3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E0B50C" w14:textId="77777777" w:rsidR="00CD2C34" w:rsidRDefault="00CD2C34" w:rsidP="00CD2C34">
      <w:pPr>
        <w:spacing w:after="0" w:line="240" w:lineRule="auto"/>
      </w:pPr>
      <w:r>
        <w:separator/>
      </w:r>
    </w:p>
  </w:endnote>
  <w:endnote w:type="continuationSeparator" w:id="0">
    <w:p w14:paraId="63F488EC" w14:textId="77777777" w:rsidR="00CD2C34" w:rsidRDefault="00CD2C34" w:rsidP="00CD2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7AF18E" w14:textId="77777777" w:rsidR="00CD2C34" w:rsidRDefault="00CD2C34" w:rsidP="00CD2C34">
      <w:pPr>
        <w:spacing w:after="0" w:line="240" w:lineRule="auto"/>
      </w:pPr>
      <w:r>
        <w:separator/>
      </w:r>
    </w:p>
  </w:footnote>
  <w:footnote w:type="continuationSeparator" w:id="0">
    <w:p w14:paraId="5D65EF57" w14:textId="77777777" w:rsidR="00CD2C34" w:rsidRDefault="00CD2C34" w:rsidP="00CD2C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B0604"/>
    <w:multiLevelType w:val="hybridMultilevel"/>
    <w:tmpl w:val="05E227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D568BF"/>
    <w:multiLevelType w:val="hybridMultilevel"/>
    <w:tmpl w:val="53CAE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1B60D6"/>
    <w:multiLevelType w:val="hybridMultilevel"/>
    <w:tmpl w:val="6B762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0E7645"/>
    <w:multiLevelType w:val="hybridMultilevel"/>
    <w:tmpl w:val="E848D4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6A160FD0"/>
    <w:multiLevelType w:val="hybridMultilevel"/>
    <w:tmpl w:val="43964830"/>
    <w:lvl w:ilvl="0" w:tplc="08090001">
      <w:start w:val="1"/>
      <w:numFmt w:val="bullet"/>
      <w:lvlText w:val=""/>
      <w:lvlJc w:val="left"/>
      <w:pPr>
        <w:ind w:left="720" w:hanging="360"/>
      </w:pPr>
      <w:rPr>
        <w:rFonts w:ascii="Symbol" w:hAnsi="Symbol" w:hint="default"/>
      </w:rPr>
    </w:lvl>
    <w:lvl w:ilvl="1" w:tplc="9EC445E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794500"/>
    <w:multiLevelType w:val="hybridMultilevel"/>
    <w:tmpl w:val="95A6A7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4762"/>
    <w:rsid w:val="00013726"/>
    <w:rsid w:val="00044DF4"/>
    <w:rsid w:val="000A09C4"/>
    <w:rsid w:val="000D1C86"/>
    <w:rsid w:val="00136DEA"/>
    <w:rsid w:val="001867DD"/>
    <w:rsid w:val="001A4840"/>
    <w:rsid w:val="00226C79"/>
    <w:rsid w:val="00253BE6"/>
    <w:rsid w:val="00336F3D"/>
    <w:rsid w:val="004178A0"/>
    <w:rsid w:val="00482721"/>
    <w:rsid w:val="005A1B3C"/>
    <w:rsid w:val="005D6D81"/>
    <w:rsid w:val="00617C1D"/>
    <w:rsid w:val="006804F6"/>
    <w:rsid w:val="008D6FBD"/>
    <w:rsid w:val="008D77B4"/>
    <w:rsid w:val="009E2091"/>
    <w:rsid w:val="00A41628"/>
    <w:rsid w:val="00A64B41"/>
    <w:rsid w:val="00AA4E67"/>
    <w:rsid w:val="00B42307"/>
    <w:rsid w:val="00BA190A"/>
    <w:rsid w:val="00BF6945"/>
    <w:rsid w:val="00C062F9"/>
    <w:rsid w:val="00C95B0E"/>
    <w:rsid w:val="00CD2C34"/>
    <w:rsid w:val="00EC4762"/>
    <w:rsid w:val="00EF0257"/>
    <w:rsid w:val="00F068D3"/>
    <w:rsid w:val="00F3334C"/>
    <w:rsid w:val="00F70DBE"/>
    <w:rsid w:val="00FA05CD"/>
    <w:rsid w:val="00FE13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EE970"/>
  <w15:docId w15:val="{455AE810-D0C2-459F-9C52-E479A0C74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C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EC4762"/>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rsid w:val="00EC4762"/>
    <w:rPr>
      <w:rFonts w:ascii="Times New Roman" w:eastAsia="Times New Roman" w:hAnsi="Times New Roman" w:cs="Times New Roman"/>
      <w:sz w:val="20"/>
      <w:szCs w:val="20"/>
      <w:lang w:eastAsia="en-GB"/>
    </w:rPr>
  </w:style>
  <w:style w:type="paragraph" w:styleId="ListParagraph">
    <w:name w:val="List Paragraph"/>
    <w:basedOn w:val="Normal"/>
    <w:uiPriority w:val="34"/>
    <w:qFormat/>
    <w:rsid w:val="00EC4762"/>
    <w:pPr>
      <w:ind w:left="720"/>
      <w:contextualSpacing/>
    </w:pPr>
  </w:style>
  <w:style w:type="paragraph" w:styleId="BalloonText">
    <w:name w:val="Balloon Text"/>
    <w:basedOn w:val="Normal"/>
    <w:link w:val="BalloonTextChar"/>
    <w:uiPriority w:val="99"/>
    <w:semiHidden/>
    <w:unhideWhenUsed/>
    <w:rsid w:val="00BF69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6945"/>
    <w:rPr>
      <w:rFonts w:ascii="Segoe UI" w:hAnsi="Segoe UI" w:cs="Segoe UI"/>
      <w:sz w:val="18"/>
      <w:szCs w:val="18"/>
    </w:rPr>
  </w:style>
  <w:style w:type="character" w:styleId="CommentReference">
    <w:name w:val="annotation reference"/>
    <w:basedOn w:val="DefaultParagraphFont"/>
    <w:uiPriority w:val="99"/>
    <w:semiHidden/>
    <w:unhideWhenUsed/>
    <w:rsid w:val="00B42307"/>
    <w:rPr>
      <w:sz w:val="16"/>
      <w:szCs w:val="16"/>
    </w:rPr>
  </w:style>
  <w:style w:type="paragraph" w:styleId="CommentText">
    <w:name w:val="annotation text"/>
    <w:basedOn w:val="Normal"/>
    <w:link w:val="CommentTextChar"/>
    <w:uiPriority w:val="99"/>
    <w:semiHidden/>
    <w:unhideWhenUsed/>
    <w:rsid w:val="00B42307"/>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semiHidden/>
    <w:rsid w:val="00B42307"/>
    <w:rPr>
      <w:rFonts w:ascii="Times New Roman" w:eastAsia="Times New Roman" w:hAnsi="Times New Roman" w:cs="Times New Roman"/>
      <w:sz w:val="20"/>
      <w:szCs w:val="20"/>
      <w:lang w:eastAsia="en-GB"/>
    </w:rPr>
  </w:style>
  <w:style w:type="paragraph" w:styleId="Header">
    <w:name w:val="header"/>
    <w:basedOn w:val="Normal"/>
    <w:link w:val="HeaderChar"/>
    <w:uiPriority w:val="99"/>
    <w:unhideWhenUsed/>
    <w:rsid w:val="00CD2C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2C34"/>
  </w:style>
  <w:style w:type="paragraph" w:styleId="Footer">
    <w:name w:val="footer"/>
    <w:basedOn w:val="Normal"/>
    <w:link w:val="FooterChar"/>
    <w:uiPriority w:val="99"/>
    <w:unhideWhenUsed/>
    <w:rsid w:val="00CD2C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2C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TotalTime>
  <Pages>2</Pages>
  <Words>968</Words>
  <Characters>5518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North Tyneside Council</Company>
  <LinksUpToDate>false</LinksUpToDate>
  <CharactersWithSpaces>6474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Wardingham</dc:creator>
  <cp:lastModifiedBy>Lisa Wardingham</cp:lastModifiedBy>
  <cp:revision>14</cp:revision>
  <dcterms:created xsi:type="dcterms:W3CDTF">2019-07-05T12:38:00Z</dcterms:created>
  <dcterms:modified xsi:type="dcterms:W3CDTF">2020-07-17T09:57:00Z</dcterms:modified>
</cp:coreProperties>
</file>